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0C0FBC">
        <w:rPr>
          <w:b/>
          <w:lang w:val="en-US"/>
        </w:rPr>
        <w:t>33</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5F13C5">
        <w:rPr>
          <w:rFonts w:hint="eastAsia"/>
          <w:lang w:val="en-US"/>
        </w:rPr>
        <w:t>11</w:t>
      </w:r>
      <w:r w:rsidR="004D2E86">
        <w:rPr>
          <w:rFonts w:hint="eastAsia"/>
          <w:lang w:val="en-US"/>
        </w:rPr>
        <w:t>.</w:t>
      </w:r>
      <w:r w:rsidR="005F13C5">
        <w:rPr>
          <w:lang w:val="en-US"/>
        </w:rPr>
        <w:t>11</w:t>
      </w:r>
    </w:p>
    <w:p w:rsidR="004A56D2" w:rsidRDefault="004A56D2" w:rsidP="004A56D2">
      <w:pPr>
        <w:pStyle w:val="Subject"/>
        <w:tabs>
          <w:tab w:val="clear" w:pos="1134"/>
        </w:tabs>
        <w:ind w:left="0" w:firstLine="0"/>
        <w:rPr>
          <w:lang w:val="en-US"/>
        </w:rPr>
      </w:pPr>
      <w:bookmarkStart w:id="0" w:name="recibido"/>
      <w:bookmarkEnd w:id="0"/>
    </w:p>
    <w:p w:rsidR="004A56D2" w:rsidRDefault="00594EC1" w:rsidP="004A56D2">
      <w:pPr>
        <w:pStyle w:val="10"/>
        <w:tabs>
          <w:tab w:val="clear" w:pos="794"/>
          <w:tab w:val="clear" w:pos="1191"/>
          <w:tab w:val="clear" w:pos="1588"/>
          <w:tab w:val="clear" w:pos="1985"/>
        </w:tabs>
        <w:jc w:val="center"/>
        <w:rPr>
          <w:b/>
          <w:bCs/>
          <w:lang w:val="en-US"/>
        </w:rPr>
      </w:pPr>
      <w:r>
        <w:rPr>
          <w:b/>
          <w:bCs/>
          <w:lang w:val="en-US"/>
        </w:rPr>
        <w:t>AUSTRALIAN WRC 2015 POSITION</w:t>
      </w:r>
    </w:p>
    <w:p w:rsidR="004A56D2" w:rsidRDefault="004A56D2" w:rsidP="004A56D2">
      <w:pPr>
        <w:pStyle w:val="Subject"/>
        <w:tabs>
          <w:tab w:val="clear" w:pos="1134"/>
        </w:tabs>
        <w:ind w:left="0" w:firstLine="0"/>
        <w:rPr>
          <w:lang w:val="en-US"/>
        </w:rPr>
      </w:pPr>
    </w:p>
    <w:p w:rsidR="004D2E86" w:rsidRPr="00676C1D" w:rsidRDefault="004D2E86" w:rsidP="004A56D2">
      <w:pPr>
        <w:rPr>
          <w:rFonts w:eastAsia="ＭＳ 明朝"/>
          <w:lang w:eastAsia="ja-JP"/>
        </w:rPr>
      </w:pPr>
    </w:p>
    <w:p w:rsidR="00594EC1" w:rsidRDefault="00594EC1" w:rsidP="00594EC1">
      <w:pPr>
        <w:rPr>
          <w:b/>
        </w:rPr>
      </w:pPr>
      <w:r w:rsidRPr="002E1DB7">
        <w:rPr>
          <w:b/>
        </w:rPr>
        <w:t>Introduction</w:t>
      </w:r>
    </w:p>
    <w:p w:rsidR="00594EC1" w:rsidRPr="002E1DB7" w:rsidRDefault="00594EC1" w:rsidP="00594EC1">
      <w:pPr>
        <w:rPr>
          <w:b/>
        </w:rPr>
      </w:pPr>
    </w:p>
    <w:p w:rsidR="00594EC1" w:rsidRDefault="00594EC1" w:rsidP="00594EC1">
      <w:r w:rsidRPr="002E1DB7">
        <w:t xml:space="preserve">The final Australian </w:t>
      </w:r>
      <w:hyperlink r:id="rId9" w:history="1">
        <w:r w:rsidRPr="002E1DB7">
          <w:rPr>
            <w:rStyle w:val="ab"/>
          </w:rPr>
          <w:t>WRC-15 Preparatory Group</w:t>
        </w:r>
      </w:hyperlink>
      <w:r w:rsidRPr="002E1DB7">
        <w:t xml:space="preserve"> meeting was held on Thursday 27 August. The outputs of this meeting were the final Australian WRC-15 Delegation Brief and reference documents which contain Australia’s WRC positions</w:t>
      </w:r>
      <w:r>
        <w:t>.</w:t>
      </w:r>
    </w:p>
    <w:p w:rsidR="00594EC1" w:rsidRPr="002E1DB7" w:rsidRDefault="00594EC1" w:rsidP="00594EC1">
      <w:r w:rsidRPr="002E1DB7">
        <w:t xml:space="preserve"> </w:t>
      </w:r>
    </w:p>
    <w:p w:rsidR="00594EC1" w:rsidRPr="002E1DB7" w:rsidRDefault="00594EC1" w:rsidP="00594EC1">
      <w:r w:rsidRPr="002E1DB7">
        <w:t>For WRC-15 there are a number of items of direct interest to the amateur service:</w:t>
      </w:r>
    </w:p>
    <w:p w:rsidR="00594EC1" w:rsidRPr="002E1DB7" w:rsidRDefault="00594EC1" w:rsidP="00594EC1">
      <w:r w:rsidRPr="002E1DB7">
        <w:t>Agenda item 1.4: a possible new secondary amateur allocation around 5300 kHz.</w:t>
      </w:r>
    </w:p>
    <w:p w:rsidR="00594EC1" w:rsidRDefault="00594EC1" w:rsidP="00594EC1">
      <w:r w:rsidRPr="002E1DB7">
        <w:t>Agenda item 1.18: a new primary allocation to the radio location service (RLS) for short range automotive radar applications in the 77.5 – 78 GHz frequency band which is a primary amateur service allocation.</w:t>
      </w:r>
    </w:p>
    <w:p w:rsidR="00594EC1" w:rsidRPr="002E1DB7" w:rsidRDefault="00594EC1" w:rsidP="00594EC1"/>
    <w:p w:rsidR="00594EC1" w:rsidRDefault="00594EC1" w:rsidP="00594EC1">
      <w:r w:rsidRPr="002E1DB7">
        <w:t>Agenda item 1.12: A new allocation for the earth exploration satellite service (EESS) around 9.9 GHz which might affect the secondary amateur allocation in the 10.0 – 10.5 GHz frequency band.</w:t>
      </w:r>
    </w:p>
    <w:p w:rsidR="00455D89" w:rsidRPr="002E1DB7" w:rsidRDefault="00455D89" w:rsidP="00594EC1"/>
    <w:p w:rsidR="00594EC1" w:rsidRDefault="00594EC1" w:rsidP="00594EC1">
      <w:r w:rsidRPr="002E1DB7">
        <w:t>Agenda item 1.1: New spectrum for international mobile telecommunications (IMT) which might affect a number of amateur UHF and microwave allocations.</w:t>
      </w:r>
    </w:p>
    <w:p w:rsidR="00594EC1" w:rsidRPr="002E1DB7" w:rsidRDefault="00594EC1" w:rsidP="00594EC1"/>
    <w:p w:rsidR="00594EC1" w:rsidRDefault="00594EC1" w:rsidP="00594EC1">
      <w:pPr>
        <w:rPr>
          <w:b/>
        </w:rPr>
      </w:pPr>
      <w:r w:rsidRPr="002E1DB7">
        <w:rPr>
          <w:b/>
        </w:rPr>
        <w:t>Australian Positions on relevant WRC-15 Agenda Items</w:t>
      </w:r>
    </w:p>
    <w:p w:rsidR="00594EC1" w:rsidRPr="002E1DB7" w:rsidRDefault="00594EC1" w:rsidP="00594EC1">
      <w:pPr>
        <w:rPr>
          <w:b/>
        </w:rPr>
      </w:pPr>
    </w:p>
    <w:p w:rsidR="00594EC1" w:rsidRPr="002E1DB7" w:rsidRDefault="00594EC1" w:rsidP="00594EC1">
      <w:r w:rsidRPr="002E1DB7">
        <w:t xml:space="preserve">The Australian position on </w:t>
      </w:r>
      <w:r w:rsidRPr="002E1DB7">
        <w:rPr>
          <w:b/>
        </w:rPr>
        <w:t>agenda item 1.4</w:t>
      </w:r>
      <w:r w:rsidRPr="002E1DB7">
        <w:t xml:space="preserve"> is:</w:t>
      </w:r>
    </w:p>
    <w:p w:rsidR="00594EC1" w:rsidRPr="002E1DB7" w:rsidRDefault="00594EC1" w:rsidP="00594EC1">
      <w:pPr>
        <w:spacing w:after="100" w:afterAutospacing="1" w:line="240" w:lineRule="atLeast"/>
        <w:ind w:left="720"/>
        <w:rPr>
          <w:i/>
          <w:iCs/>
        </w:rPr>
      </w:pPr>
      <w:r w:rsidRPr="002E1DB7">
        <w:rPr>
          <w:i/>
          <w:iCs/>
        </w:rPr>
        <w:t>Australia supports Method A3 of the CPM Report to WRC-15 on agenda item 1.4, for a secondary global allocation to the amateur service of no more than 10 kHz, in a contiguous frequency range, in the range 5 275 kHz-5 450 kHz.</w:t>
      </w:r>
    </w:p>
    <w:p w:rsidR="00594EC1" w:rsidRPr="002E1DB7" w:rsidRDefault="00594EC1" w:rsidP="00594EC1">
      <w:pPr>
        <w:spacing w:after="100" w:afterAutospacing="1" w:line="240" w:lineRule="atLeast"/>
        <w:ind w:left="720"/>
        <w:rPr>
          <w:i/>
          <w:iCs/>
        </w:rPr>
      </w:pPr>
      <w:r w:rsidRPr="002E1DB7">
        <w:rPr>
          <w:i/>
          <w:iCs/>
        </w:rPr>
        <w:t>Australia does not support a secondary allocation for the amateur service in:</w:t>
      </w:r>
    </w:p>
    <w:p w:rsidR="00594EC1" w:rsidRPr="002E1DB7" w:rsidRDefault="00594EC1" w:rsidP="00594EC1">
      <w:pPr>
        <w:numPr>
          <w:ilvl w:val="0"/>
          <w:numId w:val="9"/>
        </w:numPr>
        <w:spacing w:after="100" w:afterAutospacing="1" w:line="240" w:lineRule="atLeast"/>
        <w:rPr>
          <w:i/>
          <w:iCs/>
        </w:rPr>
      </w:pPr>
      <w:r w:rsidRPr="002E1DB7">
        <w:rPr>
          <w:i/>
          <w:iCs/>
        </w:rPr>
        <w:t>The 5 250-5 275 kHz frequency range and recommends it be excluded from consideration given sharing with oceanographic radar is not feasible.</w:t>
      </w:r>
    </w:p>
    <w:p w:rsidR="00594EC1" w:rsidRPr="002E1DB7" w:rsidRDefault="00594EC1" w:rsidP="00594EC1">
      <w:pPr>
        <w:pStyle w:val="ac"/>
        <w:numPr>
          <w:ilvl w:val="0"/>
          <w:numId w:val="9"/>
        </w:numPr>
        <w:rPr>
          <w:rFonts w:ascii="Times New Roman" w:hAnsi="Times New Roman" w:cs="Times New Roman"/>
          <w:i/>
          <w:sz w:val="24"/>
          <w:szCs w:val="24"/>
        </w:rPr>
      </w:pPr>
      <w:r w:rsidRPr="002E1DB7">
        <w:rPr>
          <w:rFonts w:ascii="Times New Roman" w:hAnsi="Times New Roman" w:cs="Times New Roman"/>
          <w:i/>
          <w:iCs/>
          <w:sz w:val="24"/>
          <w:szCs w:val="24"/>
        </w:rPr>
        <w:t>Over the entire 5 275-5 450 kHz frequency range (Method A1).</w:t>
      </w:r>
    </w:p>
    <w:p w:rsidR="00594EC1" w:rsidRPr="002E1DB7" w:rsidRDefault="00594EC1" w:rsidP="00594EC1">
      <w:r w:rsidRPr="002E1DB7">
        <w:t>While not ideal, this position does support a new secondary 60 m amateur allocation and it means there will be Australian support for a new, though small, secondary amateur allocation at WRC-15. There is no APT Common Proposal to WRC-15 for agenda item 1.4 as it was not possible to reach a consensus position.</w:t>
      </w:r>
    </w:p>
    <w:p w:rsidR="00594EC1" w:rsidRPr="002E1DB7" w:rsidRDefault="00594EC1" w:rsidP="00594EC1">
      <w:r w:rsidRPr="002E1DB7">
        <w:lastRenderedPageBreak/>
        <w:t xml:space="preserve">The Australian position on </w:t>
      </w:r>
      <w:r w:rsidRPr="002E1DB7">
        <w:rPr>
          <w:b/>
        </w:rPr>
        <w:t>agenda item 1.18</w:t>
      </w:r>
      <w:r w:rsidRPr="002E1DB7">
        <w:t xml:space="preserve"> is:</w:t>
      </w:r>
    </w:p>
    <w:p w:rsidR="00594EC1" w:rsidRDefault="00594EC1" w:rsidP="00594EC1">
      <w:pPr>
        <w:ind w:left="720"/>
        <w:rPr>
          <w:i/>
        </w:rPr>
      </w:pPr>
      <w:r w:rsidRPr="002E1DB7">
        <w:rPr>
          <w:i/>
        </w:rPr>
        <w:t xml:space="preserve">Australia supports Method A of the CPM Report to WRC-15 to satisfy this agenda item, noting that potential interference to radio astronomy services would be expected to be </w:t>
      </w:r>
      <w:proofErr w:type="spellStart"/>
      <w:r w:rsidRPr="002E1DB7">
        <w:rPr>
          <w:i/>
        </w:rPr>
        <w:t>localised</w:t>
      </w:r>
      <w:proofErr w:type="spellEnd"/>
      <w:r w:rsidRPr="002E1DB7">
        <w:rPr>
          <w:i/>
        </w:rPr>
        <w:t xml:space="preserve"> and could best be resolved by the concerned administrations (as shown in section 3.18.3 of the CPM Report to WRC-15 Sharing studies with the radio astronomy service).</w:t>
      </w:r>
    </w:p>
    <w:p w:rsidR="00594EC1" w:rsidRPr="002E1DB7" w:rsidRDefault="00594EC1" w:rsidP="00594EC1">
      <w:pPr>
        <w:ind w:left="720"/>
        <w:rPr>
          <w:i/>
        </w:rPr>
      </w:pPr>
    </w:p>
    <w:p w:rsidR="00594EC1" w:rsidRDefault="00594EC1" w:rsidP="00594EC1">
      <w:r w:rsidRPr="002E1DB7">
        <w:t xml:space="preserve">This means that Australia supports a new RLS allocation limited to short range automotive radar systems that will coexist with the primary amateur allocation between 77.5 and 78 GHz. </w:t>
      </w:r>
      <w:hyperlink r:id="rId10" w:history="1">
        <w:r w:rsidRPr="002E1DB7">
          <w:rPr>
            <w:rStyle w:val="ab"/>
          </w:rPr>
          <w:t>ITU-R sharing studies</w:t>
        </w:r>
      </w:hyperlink>
      <w:r w:rsidRPr="002E1DB7">
        <w:t xml:space="preserve"> show that there will be little impact upon typical amateur operations in that band. </w:t>
      </w:r>
    </w:p>
    <w:p w:rsidR="00594EC1" w:rsidRPr="002E1DB7" w:rsidRDefault="00594EC1" w:rsidP="00594EC1"/>
    <w:p w:rsidR="00594EC1" w:rsidRDefault="00594EC1" w:rsidP="00594EC1">
      <w:r w:rsidRPr="002E1DB7">
        <w:t xml:space="preserve">The Australian position on </w:t>
      </w:r>
      <w:r w:rsidRPr="002E1DB7">
        <w:rPr>
          <w:b/>
        </w:rPr>
        <w:t>agenda item 1.12</w:t>
      </w:r>
      <w:r w:rsidRPr="002E1DB7">
        <w:t xml:space="preserve"> is:</w:t>
      </w:r>
    </w:p>
    <w:p w:rsidR="00594EC1" w:rsidRPr="002E1DB7" w:rsidRDefault="00594EC1" w:rsidP="00594EC1"/>
    <w:p w:rsidR="00594EC1" w:rsidRDefault="00594EC1" w:rsidP="00594EC1">
      <w:pPr>
        <w:ind w:left="720"/>
        <w:rPr>
          <w:i/>
        </w:rPr>
      </w:pPr>
      <w:r w:rsidRPr="002E1DB7">
        <w:rPr>
          <w:i/>
        </w:rPr>
        <w:t>Australia supports Method B2 of the CPM Report to WRC-15.</w:t>
      </w:r>
    </w:p>
    <w:p w:rsidR="00594EC1" w:rsidRPr="002E1DB7" w:rsidRDefault="00594EC1" w:rsidP="00594EC1">
      <w:pPr>
        <w:ind w:left="720"/>
        <w:rPr>
          <w:i/>
        </w:rPr>
      </w:pPr>
      <w:r w:rsidRPr="002E1DB7">
        <w:rPr>
          <w:i/>
        </w:rPr>
        <w:t xml:space="preserve"> </w:t>
      </w:r>
    </w:p>
    <w:p w:rsidR="00594EC1" w:rsidRDefault="00594EC1" w:rsidP="00594EC1">
      <w:r w:rsidRPr="002E1DB7">
        <w:t xml:space="preserve">This means a possible new </w:t>
      </w:r>
      <w:r w:rsidRPr="002E1DB7">
        <w:rPr>
          <w:rFonts w:eastAsia="Times New Roman"/>
          <w:bCs/>
          <w:lang w:bidi="en-US"/>
        </w:rPr>
        <w:t xml:space="preserve">primary Earth exploration-satellite (active) service allocation in the frequency bands 9 200-9 300 MHz and 9 900-10 400 MHz which overlaps the secondary amateur allocation in the 10.0 – 10.5 GHz frequency band. </w:t>
      </w:r>
      <w:hyperlink r:id="rId11" w:history="1">
        <w:r w:rsidRPr="002E1DB7">
          <w:rPr>
            <w:rStyle w:val="ab"/>
            <w:rFonts w:eastAsia="Times New Roman"/>
            <w:bCs/>
            <w:lang w:bidi="en-US"/>
          </w:rPr>
          <w:t>ITU-R sharing studies</w:t>
        </w:r>
      </w:hyperlink>
      <w:r w:rsidRPr="002E1DB7">
        <w:rPr>
          <w:rFonts w:eastAsia="Times New Roman"/>
          <w:bCs/>
          <w:lang w:bidi="en-US"/>
        </w:rPr>
        <w:t xml:space="preserve"> indicate that interference to amateur and amateur satellite stations will be minimal and of order 40 seconds every 10 or 11 days.  </w:t>
      </w:r>
      <w:r w:rsidRPr="002E1DB7">
        <w:t>Australia supports the APT Common Proposal to WRC-15 on this agenda item.</w:t>
      </w:r>
    </w:p>
    <w:p w:rsidR="00455D89" w:rsidRPr="002E1DB7" w:rsidRDefault="00455D89" w:rsidP="00594EC1"/>
    <w:p w:rsidR="00594EC1" w:rsidRPr="002E1DB7" w:rsidRDefault="00594EC1" w:rsidP="00594EC1">
      <w:pPr>
        <w:spacing w:after="100" w:afterAutospacing="1"/>
        <w:rPr>
          <w:rFonts w:eastAsia="Times New Roman"/>
          <w:bCs/>
          <w:lang w:bidi="en-US"/>
        </w:rPr>
      </w:pPr>
      <w:r w:rsidRPr="002E1DB7">
        <w:rPr>
          <w:rFonts w:eastAsia="Times New Roman"/>
          <w:bCs/>
          <w:lang w:bidi="en-US"/>
        </w:rPr>
        <w:t xml:space="preserve">The Australian and other national/regional views on </w:t>
      </w:r>
      <w:r w:rsidRPr="002E1DB7">
        <w:rPr>
          <w:rFonts w:eastAsia="Times New Roman"/>
          <w:b/>
          <w:bCs/>
          <w:lang w:bidi="en-US"/>
        </w:rPr>
        <w:t>agenda item 1.1</w:t>
      </w:r>
      <w:r w:rsidRPr="002E1DB7">
        <w:rPr>
          <w:rFonts w:eastAsia="Times New Roman"/>
          <w:bCs/>
          <w:lang w:bidi="en-US"/>
        </w:rPr>
        <w:t xml:space="preserve"> are highly variable and complex and it remains to be seen if any amateur allocations might be affected. The IMT industry is well funded and the growth in IMT usage means that IMT services and applications will continue to demand more radio spectrum which may have an impact on VHF/UHF/microwave amateur allocations at some time in the future.</w:t>
      </w:r>
    </w:p>
    <w:p w:rsidR="00594EC1" w:rsidRPr="002E1DB7" w:rsidRDefault="00594EC1" w:rsidP="00594EC1">
      <w:pPr>
        <w:spacing w:after="100" w:afterAutospacing="1"/>
        <w:rPr>
          <w:rFonts w:eastAsia="Times New Roman"/>
          <w:b/>
          <w:bCs/>
          <w:lang w:bidi="en-US"/>
        </w:rPr>
      </w:pPr>
      <w:r w:rsidRPr="002E1DB7">
        <w:rPr>
          <w:rFonts w:eastAsia="Times New Roman"/>
          <w:b/>
          <w:bCs/>
          <w:lang w:bidi="en-US"/>
        </w:rPr>
        <w:t>Future WRC Agenda items (Agenda Item 10)</w:t>
      </w:r>
    </w:p>
    <w:p w:rsidR="00594EC1" w:rsidRPr="002E1DB7" w:rsidRDefault="00594EC1" w:rsidP="00594EC1">
      <w:r w:rsidRPr="002E1DB7">
        <w:t>WRC-15 will consider possible new agenda items for WRC-19. At this point in time there are two possible agenda items of direct relevance to the amateur service, neither of which have significant impact upon Australian amateurs:</w:t>
      </w:r>
    </w:p>
    <w:tbl>
      <w:tblPr>
        <w:tblStyle w:val="ColorfulShading-Accent612"/>
        <w:tblW w:w="4944" w:type="pct"/>
        <w:jc w:val="center"/>
        <w:tblBorders>
          <w:top w:val="single" w:sz="18" w:space="0" w:color="0070C0"/>
          <w:left w:val="single" w:sz="18" w:space="0" w:color="0070C0"/>
          <w:bottom w:val="single" w:sz="18" w:space="0" w:color="0070C0"/>
          <w:right w:val="single" w:sz="18" w:space="0" w:color="0070C0"/>
          <w:insideH w:val="single" w:sz="6" w:space="0" w:color="0070C0"/>
          <w:insideV w:val="single" w:sz="6" w:space="0" w:color="0070C0"/>
        </w:tblBorders>
        <w:tblLayout w:type="fixed"/>
        <w:tblLook w:val="04A0" w:firstRow="1" w:lastRow="0" w:firstColumn="1" w:lastColumn="0" w:noHBand="0" w:noVBand="1"/>
      </w:tblPr>
      <w:tblGrid>
        <w:gridCol w:w="1617"/>
        <w:gridCol w:w="2336"/>
        <w:gridCol w:w="2138"/>
        <w:gridCol w:w="2534"/>
      </w:tblGrid>
      <w:tr w:rsidR="00594EC1" w:rsidRPr="002E1DB7" w:rsidTr="00296F8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426" w:type="dxa"/>
            <w:shd w:val="clear" w:color="auto" w:fill="DBDBDB"/>
          </w:tcPr>
          <w:p w:rsidR="00594EC1" w:rsidRPr="002E1DB7" w:rsidRDefault="00594EC1" w:rsidP="00296F8A">
            <w:pPr>
              <w:rPr>
                <w:rFonts w:ascii="Times New Roman" w:eastAsia="Times New Roman" w:hAnsi="Times New Roman"/>
              </w:rPr>
            </w:pPr>
            <w:r w:rsidRPr="002E1DB7">
              <w:rPr>
                <w:rFonts w:ascii="Times New Roman" w:eastAsia="Times New Roman" w:hAnsi="Times New Roman"/>
              </w:rPr>
              <w:t xml:space="preserve">Mobile, amateur and amateur satellite service in the band 47-68 MHz </w:t>
            </w:r>
          </w:p>
          <w:p w:rsidR="00594EC1" w:rsidRPr="002E1DB7" w:rsidRDefault="00594EC1" w:rsidP="00296F8A">
            <w:pPr>
              <w:rPr>
                <w:rFonts w:ascii="Times New Roman" w:eastAsia="Times New Roman" w:hAnsi="Times New Roman"/>
              </w:rPr>
            </w:pPr>
          </w:p>
          <w:p w:rsidR="00594EC1" w:rsidRPr="002E1DB7" w:rsidRDefault="00594EC1" w:rsidP="00296F8A">
            <w:pPr>
              <w:rPr>
                <w:rFonts w:ascii="Times New Roman" w:eastAsia="Times New Roman" w:hAnsi="Times New Roman"/>
              </w:rPr>
            </w:pPr>
            <w:r w:rsidRPr="002E1DB7">
              <w:rPr>
                <w:rFonts w:ascii="Times New Roman" w:eastAsia="Times New Roman" w:hAnsi="Times New Roman"/>
              </w:rPr>
              <w:t>CEPT</w:t>
            </w:r>
          </w:p>
        </w:tc>
        <w:tc>
          <w:tcPr>
            <w:tcW w:w="3565" w:type="dxa"/>
            <w:shd w:val="clear" w:color="auto" w:fill="E2EFD9"/>
          </w:tcPr>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 xml:space="preserve">To consider an allocation to the mobile, amateur and amateur satellite service in the band 47-68 </w:t>
            </w:r>
            <w:proofErr w:type="spellStart"/>
            <w:r w:rsidRPr="002E1DB7">
              <w:rPr>
                <w:rFonts w:ascii="Times New Roman" w:eastAsia="Times New Roman" w:hAnsi="Times New Roman"/>
              </w:rPr>
              <w:t>MHz.</w:t>
            </w:r>
            <w:proofErr w:type="spellEnd"/>
            <w:r w:rsidRPr="002E1DB7">
              <w:rPr>
                <w:rFonts w:ascii="Times New Roman" w:eastAsia="Times New Roman" w:hAnsi="Times New Roman"/>
              </w:rPr>
              <w:t xml:space="preserve"> </w:t>
            </w: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p>
        </w:tc>
        <w:tc>
          <w:tcPr>
            <w:tcW w:w="3251" w:type="dxa"/>
            <w:shd w:val="clear" w:color="auto" w:fill="E2EFD9"/>
          </w:tcPr>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i/>
              </w:rPr>
              <w:t>CEPT</w:t>
            </w:r>
            <w:r w:rsidRPr="002E1DB7">
              <w:rPr>
                <w:rFonts w:ascii="Times New Roman" w:eastAsia="Times New Roman" w:hAnsi="Times New Roman"/>
              </w:rPr>
              <w:t xml:space="preserve"> likely to support as indicated in draft ECP [9]</w:t>
            </w: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highlight w:val="yellow"/>
              </w:rPr>
            </w:pP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highlight w:val="yellow"/>
              </w:rPr>
            </w:pPr>
            <w:r w:rsidRPr="002E1DB7">
              <w:rPr>
                <w:rFonts w:ascii="Times New Roman" w:eastAsia="Times New Roman" w:hAnsi="Times New Roman"/>
                <w:i/>
              </w:rPr>
              <w:t>Defence</w:t>
            </w:r>
            <w:r w:rsidRPr="002E1DB7">
              <w:rPr>
                <w:rFonts w:ascii="Times New Roman" w:eastAsia="Times New Roman" w:hAnsi="Times New Roman"/>
              </w:rPr>
              <w:t xml:space="preserve"> notes that this is an important band for Defence tactical land mobile radio.</w:t>
            </w:r>
          </w:p>
        </w:tc>
        <w:tc>
          <w:tcPr>
            <w:tcW w:w="3879" w:type="dxa"/>
            <w:shd w:val="clear" w:color="auto" w:fill="E2EFD9"/>
          </w:tcPr>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Monitor</w:t>
            </w: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 xml:space="preserve">Australia is open to accepting a future agenda item on this issue but is not expected to actively advocate for its inclusion on the WRC-19 agenda as Regions 2 and 3 already have mobile and amateur allocations in this frequency range. </w:t>
            </w:r>
            <w:r w:rsidRPr="002E1DB7">
              <w:rPr>
                <w:rFonts w:ascii="Times New Roman" w:eastAsia="Times New Roman" w:hAnsi="Times New Roman"/>
              </w:rPr>
              <w:lastRenderedPageBreak/>
              <w:t xml:space="preserve">However, Australia does have some interest in an allocation to the amateur satellite service in the 50-54 MHz portion of this band given the potential opportunity for international harmonisation. </w:t>
            </w: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highlight w:val="yellow"/>
              </w:rPr>
            </w:pPr>
            <w:r w:rsidRPr="002E1DB7">
              <w:rPr>
                <w:rFonts w:ascii="Times New Roman" w:eastAsia="Times New Roman" w:hAnsi="Times New Roman"/>
              </w:rPr>
              <w:t>Australia also has an interest in ensuring that any future agenda item adequately considers the requirements of, and does not place undue constraints on, other primary services.</w:t>
            </w:r>
          </w:p>
        </w:tc>
      </w:tr>
    </w:tbl>
    <w:p w:rsidR="00594EC1" w:rsidRPr="002E1DB7" w:rsidRDefault="00594EC1" w:rsidP="00594EC1"/>
    <w:tbl>
      <w:tblPr>
        <w:tblStyle w:val="ColorfulShading-Accent612"/>
        <w:tblW w:w="4944" w:type="pct"/>
        <w:jc w:val="center"/>
        <w:tblBorders>
          <w:top w:val="single" w:sz="18" w:space="0" w:color="0070C0"/>
          <w:left w:val="single" w:sz="18" w:space="0" w:color="0070C0"/>
          <w:bottom w:val="single" w:sz="18" w:space="0" w:color="0070C0"/>
          <w:right w:val="single" w:sz="18" w:space="0" w:color="0070C0"/>
          <w:insideH w:val="single" w:sz="6" w:space="0" w:color="0070C0"/>
          <w:insideV w:val="single" w:sz="6" w:space="0" w:color="0070C0"/>
        </w:tblBorders>
        <w:tblLayout w:type="fixed"/>
        <w:tblLook w:val="04A0" w:firstRow="1" w:lastRow="0" w:firstColumn="1" w:lastColumn="0" w:noHBand="0" w:noVBand="1"/>
      </w:tblPr>
      <w:tblGrid>
        <w:gridCol w:w="1617"/>
        <w:gridCol w:w="2336"/>
        <w:gridCol w:w="2138"/>
        <w:gridCol w:w="2534"/>
      </w:tblGrid>
      <w:tr w:rsidR="00594EC1" w:rsidRPr="002E1DB7" w:rsidTr="00296F8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2426" w:type="dxa"/>
            <w:shd w:val="clear" w:color="auto" w:fill="DBDBDB"/>
          </w:tcPr>
          <w:p w:rsidR="00594EC1" w:rsidRPr="002E1DB7" w:rsidRDefault="00594EC1" w:rsidP="00296F8A">
            <w:pPr>
              <w:rPr>
                <w:rFonts w:ascii="Times New Roman" w:eastAsia="Times New Roman" w:hAnsi="Times New Roman"/>
              </w:rPr>
            </w:pPr>
            <w:r w:rsidRPr="002E1DB7">
              <w:rPr>
                <w:rFonts w:ascii="Times New Roman" w:eastAsia="Times New Roman" w:hAnsi="Times New Roman"/>
              </w:rPr>
              <w:t xml:space="preserve">Amateur allocation in the band 1800-2000 kHz </w:t>
            </w:r>
          </w:p>
          <w:p w:rsidR="00594EC1" w:rsidRPr="002E1DB7" w:rsidRDefault="00594EC1" w:rsidP="00296F8A">
            <w:pPr>
              <w:rPr>
                <w:rFonts w:ascii="Times New Roman" w:eastAsia="Times New Roman" w:hAnsi="Times New Roman"/>
              </w:rPr>
            </w:pPr>
          </w:p>
          <w:p w:rsidR="00594EC1" w:rsidRPr="002E1DB7" w:rsidRDefault="00594EC1" w:rsidP="00296F8A">
            <w:pPr>
              <w:rPr>
                <w:rFonts w:ascii="Times New Roman" w:eastAsia="Times New Roman" w:hAnsi="Times New Roman"/>
              </w:rPr>
            </w:pPr>
            <w:r w:rsidRPr="002E1DB7">
              <w:rPr>
                <w:rFonts w:ascii="Times New Roman" w:eastAsia="Times New Roman" w:hAnsi="Times New Roman"/>
              </w:rPr>
              <w:t>CEPT</w:t>
            </w:r>
          </w:p>
        </w:tc>
        <w:tc>
          <w:tcPr>
            <w:tcW w:w="3565" w:type="dxa"/>
            <w:shd w:val="clear" w:color="auto" w:fill="E2EFD9"/>
          </w:tcPr>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To consider an amateur allocation in the band 1800-2000 kHz range to enable harmonisation of 1 800-2 000 kHz in Region 1 with amateur service allocations in Regions 2 and 3.</w:t>
            </w:r>
          </w:p>
        </w:tc>
        <w:tc>
          <w:tcPr>
            <w:tcW w:w="3251" w:type="dxa"/>
            <w:shd w:val="clear" w:color="auto" w:fill="E2EFD9"/>
          </w:tcPr>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i/>
              </w:rPr>
              <w:t>CEPT</w:t>
            </w:r>
            <w:r w:rsidRPr="002E1DB7">
              <w:rPr>
                <w:rFonts w:ascii="Times New Roman" w:eastAsia="Times New Roman" w:hAnsi="Times New Roman"/>
              </w:rPr>
              <w:t xml:space="preserve"> likely to support as indicated in draft ECP [9]</w:t>
            </w: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This appears to be a Region 1 issue as Regions 2 and 3 already have amateur allocations in this frequency range.</w:t>
            </w:r>
          </w:p>
        </w:tc>
        <w:tc>
          <w:tcPr>
            <w:tcW w:w="3879" w:type="dxa"/>
            <w:shd w:val="clear" w:color="auto" w:fill="E2EFD9"/>
          </w:tcPr>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Monitor</w:t>
            </w: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p>
          <w:p w:rsidR="00594EC1" w:rsidRPr="002E1DB7" w:rsidRDefault="00594EC1" w:rsidP="00296F8A">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rPr>
            </w:pPr>
            <w:r w:rsidRPr="002E1DB7">
              <w:rPr>
                <w:rFonts w:ascii="Times New Roman" w:eastAsia="Times New Roman" w:hAnsi="Times New Roman"/>
              </w:rPr>
              <w:t>Australia is interested to ensure that any agenda item on this issue is limited to Region 1.</w:t>
            </w:r>
          </w:p>
        </w:tc>
      </w:tr>
    </w:tbl>
    <w:p w:rsidR="00594EC1" w:rsidRPr="002E1DB7" w:rsidRDefault="00594EC1" w:rsidP="00594EC1"/>
    <w:p w:rsidR="00594EC1" w:rsidRPr="002E1DB7" w:rsidRDefault="00594EC1" w:rsidP="00594EC1">
      <w:pPr>
        <w:rPr>
          <w:color w:val="000000"/>
        </w:rPr>
      </w:pPr>
      <w:r w:rsidRPr="002E1DB7">
        <w:rPr>
          <w:bCs/>
          <w:color w:val="000000"/>
        </w:rPr>
        <w:t>Where</w:t>
      </w:r>
      <w:r w:rsidRPr="002E1DB7">
        <w:rPr>
          <w:b/>
          <w:bCs/>
          <w:color w:val="000000"/>
        </w:rPr>
        <w:t xml:space="preserve"> Monitor </w:t>
      </w:r>
      <w:r w:rsidRPr="002E1DB7">
        <w:rPr>
          <w:color w:val="000000"/>
        </w:rPr>
        <w:t xml:space="preserve">means Australia has an inclination to either support or oppose but there is not an expectation that Australia will be heavily involved in pursuing an outcome.  The other options are to have </w:t>
      </w:r>
      <w:r w:rsidRPr="002E1DB7">
        <w:rPr>
          <w:b/>
          <w:color w:val="000000"/>
        </w:rPr>
        <w:t>No View</w:t>
      </w:r>
      <w:r w:rsidRPr="002E1DB7">
        <w:rPr>
          <w:color w:val="000000"/>
        </w:rPr>
        <w:t xml:space="preserve"> or to explicitly </w:t>
      </w:r>
      <w:r w:rsidRPr="002E1DB7">
        <w:rPr>
          <w:b/>
          <w:color w:val="000000"/>
        </w:rPr>
        <w:t>Support</w:t>
      </w:r>
      <w:r w:rsidRPr="002E1DB7">
        <w:rPr>
          <w:color w:val="000000"/>
        </w:rPr>
        <w:t xml:space="preserve"> or </w:t>
      </w:r>
      <w:r w:rsidRPr="002E1DB7">
        <w:rPr>
          <w:b/>
          <w:color w:val="000000"/>
        </w:rPr>
        <w:t>Oppose</w:t>
      </w:r>
      <w:r w:rsidRPr="002E1DB7">
        <w:rPr>
          <w:color w:val="000000"/>
        </w:rPr>
        <w:t>.</w:t>
      </w:r>
    </w:p>
    <w:p w:rsidR="00594EC1" w:rsidRDefault="00594EC1" w:rsidP="00594EC1">
      <w:r w:rsidRPr="002E1DB7">
        <w:t xml:space="preserve"> These are possible agenda items only and it may be that other WRC-19 agenda items of concern to the amateur service will arise, especially threats to the microwave allocations, during WRC-15.</w:t>
      </w:r>
    </w:p>
    <w:p w:rsidR="00594EC1" w:rsidRPr="002E1DB7" w:rsidRDefault="00594EC1" w:rsidP="00594EC1">
      <w:r w:rsidRPr="002E1DB7">
        <w:t xml:space="preserve"> </w:t>
      </w:r>
    </w:p>
    <w:p w:rsidR="00594EC1" w:rsidRDefault="00594EC1" w:rsidP="00594EC1">
      <w:pPr>
        <w:rPr>
          <w:b/>
        </w:rPr>
      </w:pPr>
      <w:r w:rsidRPr="002E1DB7">
        <w:rPr>
          <w:b/>
        </w:rPr>
        <w:t>Conclusion</w:t>
      </w:r>
    </w:p>
    <w:p w:rsidR="00594EC1" w:rsidRPr="002E1DB7" w:rsidRDefault="00594EC1" w:rsidP="00594EC1">
      <w:pPr>
        <w:rPr>
          <w:b/>
        </w:rPr>
      </w:pPr>
      <w:r w:rsidRPr="002E1DB7">
        <w:rPr>
          <w:b/>
        </w:rPr>
        <w:t xml:space="preserve"> </w:t>
      </w:r>
    </w:p>
    <w:p w:rsidR="00594EC1" w:rsidRDefault="00594EC1" w:rsidP="00594EC1">
      <w:r w:rsidRPr="002E1DB7">
        <w:t xml:space="preserve">The Australian positions on WRC-15 agenda items are generally </w:t>
      </w:r>
      <w:proofErr w:type="spellStart"/>
      <w:r w:rsidRPr="002E1DB7">
        <w:t>favourable</w:t>
      </w:r>
      <w:proofErr w:type="spellEnd"/>
      <w:r w:rsidRPr="002E1DB7">
        <w:t xml:space="preserve">, though care is needed about how agenda item 1.1 might develop. </w:t>
      </w:r>
    </w:p>
    <w:p w:rsidR="00594EC1" w:rsidRPr="002E1DB7" w:rsidRDefault="00594EC1" w:rsidP="00594EC1"/>
    <w:p w:rsidR="00594EC1" w:rsidRPr="002E1DB7" w:rsidRDefault="00594EC1" w:rsidP="00594EC1">
      <w:pPr>
        <w:rPr>
          <w:caps/>
        </w:rPr>
      </w:pPr>
      <w:r w:rsidRPr="002E1DB7">
        <w:lastRenderedPageBreak/>
        <w:t xml:space="preserve">The final outcome on all agenda items will be decided at WRC-15 and such outcomes may, or may not, align with the existing Australian views. At which time Australia might seek to add its name to regulatory footnotes in the ITU Radio Regulations, or to develop and apply specific footnotes to the Australian radio frequency </w:t>
      </w:r>
      <w:proofErr w:type="spellStart"/>
      <w:r w:rsidRPr="002E1DB7">
        <w:t>bandplan</w:t>
      </w:r>
      <w:proofErr w:type="spellEnd"/>
      <w:r w:rsidRPr="002E1DB7">
        <w:t xml:space="preserve"> which will be revised following the conclusion of WRC-15.</w:t>
      </w:r>
    </w:p>
    <w:p w:rsidR="0005660E" w:rsidRDefault="0005660E">
      <w:pPr>
        <w:rPr>
          <w:rFonts w:eastAsia="ＭＳ 明朝"/>
          <w:lang w:eastAsia="ja-JP"/>
        </w:rPr>
      </w:pPr>
    </w:p>
    <w:p w:rsidR="0005660E" w:rsidRDefault="0005660E">
      <w:pPr>
        <w:rPr>
          <w:rFonts w:eastAsia="ＭＳ 明朝"/>
          <w:lang w:eastAsia="ja-JP"/>
        </w:rPr>
      </w:pPr>
    </w:p>
    <w:p w:rsidR="00E20FC8" w:rsidRDefault="00E20FC8" w:rsidP="00E20FC8">
      <w:pPr>
        <w:rPr>
          <w:rFonts w:eastAsia="ＭＳ 明朝"/>
          <w:b/>
          <w:lang w:eastAsia="ja-JP"/>
        </w:rPr>
      </w:pPr>
      <w:r>
        <w:rPr>
          <w:rFonts w:eastAsia="ＭＳ 明朝"/>
          <w:b/>
          <w:lang w:eastAsia="ja-JP"/>
        </w:rPr>
        <w:t>Recommendation</w:t>
      </w:r>
    </w:p>
    <w:p w:rsidR="00E20FC8" w:rsidRDefault="00E20FC8" w:rsidP="00E20FC8">
      <w:pPr>
        <w:rPr>
          <w:rFonts w:eastAsia="ＭＳ 明朝"/>
          <w:b/>
          <w:lang w:eastAsia="ja-JP"/>
        </w:rPr>
      </w:pPr>
    </w:p>
    <w:p w:rsidR="00156D1D" w:rsidRDefault="00E20FC8">
      <w:pPr>
        <w:rPr>
          <w:rFonts w:eastAsia="ＭＳ 明朝"/>
          <w:lang w:eastAsia="ja-JP"/>
        </w:rPr>
      </w:pPr>
      <w:r w:rsidRPr="00A91BD2">
        <w:rPr>
          <w:rFonts w:eastAsia="ＭＳ 明朝"/>
          <w:b/>
          <w:lang w:eastAsia="ja-JP"/>
        </w:rPr>
        <w:t>That member Societies note the</w:t>
      </w:r>
      <w:r>
        <w:rPr>
          <w:rFonts w:eastAsia="ＭＳ 明朝"/>
          <w:b/>
          <w:lang w:eastAsia="ja-JP"/>
        </w:rPr>
        <w:t xml:space="preserve"> contents of this paper.</w:t>
      </w:r>
      <w:bookmarkStart w:id="1" w:name="_GoBack"/>
      <w:bookmarkEnd w:id="1"/>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even" r:id="rId12"/>
      <w:headerReference w:type="default" r:id="rId13"/>
      <w:footerReference w:type="even" r:id="rId14"/>
      <w:footerReference w:type="default" r:id="rId15"/>
      <w:headerReference w:type="first" r:id="rId16"/>
      <w:footerReference w:type="first" r:id="rId17"/>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7C3" w:rsidRDefault="00E607C3">
      <w:r>
        <w:separator/>
      </w:r>
    </w:p>
  </w:endnote>
  <w:endnote w:type="continuationSeparator" w:id="0">
    <w:p w:rsidR="00E607C3" w:rsidRDefault="00E60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4601" w:rsidRDefault="00BB460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4601" w:rsidRDefault="00BB4601">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4601" w:rsidRDefault="00BB460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7C3" w:rsidRDefault="00E607C3">
      <w:r>
        <w:separator/>
      </w:r>
    </w:p>
  </w:footnote>
  <w:footnote w:type="continuationSeparator" w:id="0">
    <w:p w:rsidR="00E607C3" w:rsidRDefault="00E607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4601" w:rsidRDefault="00BB4601">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00231AAC" w:rsidRPr="00726191">
      <w:rPr>
        <w:rStyle w:val="a5"/>
        <w:sz w:val="20"/>
        <w:szCs w:val="20"/>
      </w:rPr>
      <w:fldChar w:fldCharType="begin"/>
    </w:r>
    <w:r w:rsidRPr="00726191">
      <w:rPr>
        <w:rStyle w:val="a5"/>
        <w:sz w:val="20"/>
        <w:szCs w:val="20"/>
      </w:rPr>
      <w:instrText xml:space="preserve"> PAGE </w:instrText>
    </w:r>
    <w:r w:rsidR="00231AAC" w:rsidRPr="00726191">
      <w:rPr>
        <w:rStyle w:val="a5"/>
        <w:sz w:val="20"/>
        <w:szCs w:val="20"/>
      </w:rPr>
      <w:fldChar w:fldCharType="separate"/>
    </w:r>
    <w:r w:rsidR="008411B9">
      <w:rPr>
        <w:rStyle w:val="a5"/>
        <w:noProof/>
        <w:sz w:val="20"/>
        <w:szCs w:val="20"/>
      </w:rPr>
      <w:t>3</w:t>
    </w:r>
    <w:r w:rsidR="00231AAC"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BB4601">
      <w:rPr>
        <w:rStyle w:val="a5"/>
        <w:sz w:val="20"/>
        <w:szCs w:val="20"/>
      </w:rPr>
      <w:t>33</w:t>
    </w:r>
  </w:p>
  <w:p w:rsidR="00676C1D" w:rsidRDefault="00676C1D">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4601" w:rsidRDefault="00BB4601">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573018C0"/>
    <w:multiLevelType w:val="hybridMultilevel"/>
    <w:tmpl w:val="57A8195A"/>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8"/>
  </w:num>
  <w:num w:numId="5">
    <w:abstractNumId w:val="4"/>
  </w:num>
  <w:num w:numId="6">
    <w:abstractNumId w:val="6"/>
  </w:num>
  <w:num w:numId="7">
    <w:abstractNumId w:val="1"/>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3313">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E20FC8"/>
    <w:rsid w:val="0003595B"/>
    <w:rsid w:val="00035EFB"/>
    <w:rsid w:val="000529A1"/>
    <w:rsid w:val="0005660E"/>
    <w:rsid w:val="000713CF"/>
    <w:rsid w:val="000C0FBC"/>
    <w:rsid w:val="000F5540"/>
    <w:rsid w:val="00113A81"/>
    <w:rsid w:val="001539DD"/>
    <w:rsid w:val="00156D1D"/>
    <w:rsid w:val="0017248C"/>
    <w:rsid w:val="00172C79"/>
    <w:rsid w:val="00172D1D"/>
    <w:rsid w:val="0019586B"/>
    <w:rsid w:val="00196568"/>
    <w:rsid w:val="001A2F16"/>
    <w:rsid w:val="001B18C2"/>
    <w:rsid w:val="001C619C"/>
    <w:rsid w:val="001D5D7E"/>
    <w:rsid w:val="00231AAC"/>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55D89"/>
    <w:rsid w:val="004633B4"/>
    <w:rsid w:val="00480B03"/>
    <w:rsid w:val="004A56D2"/>
    <w:rsid w:val="004B3553"/>
    <w:rsid w:val="004D2E86"/>
    <w:rsid w:val="00526E07"/>
    <w:rsid w:val="00530E8C"/>
    <w:rsid w:val="00545933"/>
    <w:rsid w:val="00587875"/>
    <w:rsid w:val="00594EC1"/>
    <w:rsid w:val="005F13C5"/>
    <w:rsid w:val="00607E2B"/>
    <w:rsid w:val="00623CE1"/>
    <w:rsid w:val="0063062B"/>
    <w:rsid w:val="00637BE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11B9"/>
    <w:rsid w:val="00847A46"/>
    <w:rsid w:val="008D0E09"/>
    <w:rsid w:val="008E4412"/>
    <w:rsid w:val="0097693B"/>
    <w:rsid w:val="00993355"/>
    <w:rsid w:val="009A4A6D"/>
    <w:rsid w:val="009C09CD"/>
    <w:rsid w:val="009E0413"/>
    <w:rsid w:val="00A13265"/>
    <w:rsid w:val="00A219A7"/>
    <w:rsid w:val="00A71136"/>
    <w:rsid w:val="00A80565"/>
    <w:rsid w:val="00AA474C"/>
    <w:rsid w:val="00AD7E5F"/>
    <w:rsid w:val="00B01AA1"/>
    <w:rsid w:val="00B30C81"/>
    <w:rsid w:val="00B405F3"/>
    <w:rsid w:val="00BB4601"/>
    <w:rsid w:val="00BD7620"/>
    <w:rsid w:val="00BF71AC"/>
    <w:rsid w:val="00C15633"/>
    <w:rsid w:val="00C15799"/>
    <w:rsid w:val="00C357AD"/>
    <w:rsid w:val="00C6069C"/>
    <w:rsid w:val="00CD5431"/>
    <w:rsid w:val="00CF2491"/>
    <w:rsid w:val="00D57772"/>
    <w:rsid w:val="00D75A4D"/>
    <w:rsid w:val="00D8478B"/>
    <w:rsid w:val="00D86151"/>
    <w:rsid w:val="00DA7595"/>
    <w:rsid w:val="00DB0A68"/>
    <w:rsid w:val="00DC43A3"/>
    <w:rsid w:val="00DC6954"/>
    <w:rsid w:val="00DE3816"/>
    <w:rsid w:val="00E0124F"/>
    <w:rsid w:val="00E20FC8"/>
    <w:rsid w:val="00E4680F"/>
    <w:rsid w:val="00E607C3"/>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3313">
      <v:textbox inset="5.85pt,.7pt,5.85pt,.7pt"/>
    </o:shapedefaults>
    <o:shapelayout v:ext="edit">
      <o:idmap v:ext="edit" data="1"/>
    </o:shapelayout>
  </w:shapeDefaults>
  <w:decimalSymbol w:val="."/>
  <w:listSeparator w:val=","/>
  <w15:docId w15:val="{1D78B604-F663-420C-975C-749F39712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basedOn w:val="a0"/>
    <w:uiPriority w:val="99"/>
    <w:unhideWhenUsed/>
    <w:rsid w:val="00594EC1"/>
    <w:rPr>
      <w:color w:val="0563C1" w:themeColor="hyperlink"/>
      <w:u w:val="single"/>
    </w:rPr>
  </w:style>
  <w:style w:type="table" w:customStyle="1" w:styleId="ColorfulShading-Accent612">
    <w:name w:val="Colorful Shading - Accent 612"/>
    <w:basedOn w:val="a1"/>
    <w:uiPriority w:val="71"/>
    <w:rsid w:val="00594EC1"/>
    <w:rPr>
      <w:rFonts w:asciiTheme="minorHAnsi" w:eastAsia="Calibri" w:hAnsiTheme="minorHAnsi"/>
      <w:color w:val="000000"/>
      <w:sz w:val="22"/>
      <w:szCs w:val="22"/>
      <w:lang w:val="en-AU" w:eastAsia="en-US"/>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paragraph" w:styleId="ac">
    <w:name w:val="List Paragraph"/>
    <w:basedOn w:val="a"/>
    <w:uiPriority w:val="34"/>
    <w:qFormat/>
    <w:rsid w:val="00594EC1"/>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tu.int/pub/R-REP-RS.2314"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itu.int/pub/R-REP-M/publications.aspx?lang=en&amp;parent=R-REP-M.232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acma.gov.au/Industry/Spectrum/Spectrum-planning/International-planning-ITU-and-other-international-planning-bodies/wrc15-preparatory-group-spectrum-planning-acma"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dio%20Room\Documents\R3%20Conf%202015_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R3 Conf 2015_DocumentTemplate.dotx</Template>
  <TotalTime>2</TotalTime>
  <Pages>4</Pages>
  <Words>1024</Words>
  <Characters>5842</Characters>
  <Application>Microsoft Office Word</Application>
  <DocSecurity>0</DocSecurity>
  <Lines>48</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6853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Radio Room</dc:creator>
  <cp:lastModifiedBy>Ken Yamamoto</cp:lastModifiedBy>
  <cp:revision>5</cp:revision>
  <cp:lastPrinted>2009-02-17T09:56:00Z</cp:lastPrinted>
  <dcterms:created xsi:type="dcterms:W3CDTF">2015-09-03T02:24:00Z</dcterms:created>
  <dcterms:modified xsi:type="dcterms:W3CDTF">2015-09-03T04:42:00Z</dcterms:modified>
</cp:coreProperties>
</file>